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bookmarkStart w:id="0" w:name="_GoBack"/>
      <w:r>
        <w:rPr>
          <w:rFonts w:hint="eastAsia" w:ascii="微软雅黑" w:hAnsi="微软雅黑" w:eastAsia="微软雅黑" w:cs="微软雅黑"/>
          <w:b/>
          <w:i w:val="0"/>
          <w:caps w:val="0"/>
          <w:color w:val="0C826A"/>
          <w:spacing w:val="0"/>
          <w:sz w:val="36"/>
          <w:szCs w:val="36"/>
          <w:shd w:val="clear" w:fill="FFFFFF"/>
        </w:rPr>
        <w:t>JC-TZ-4S</w:t>
      </w:r>
      <w:bookmarkEnd w:id="0"/>
      <w:r>
        <w:rPr>
          <w:rFonts w:hint="eastAsia" w:ascii="微软雅黑" w:hAnsi="微软雅黑" w:eastAsia="微软雅黑" w:cs="微软雅黑"/>
          <w:b/>
          <w:i w:val="0"/>
          <w:caps w:val="0"/>
          <w:color w:val="0C826A"/>
          <w:spacing w:val="0"/>
          <w:sz w:val="36"/>
          <w:szCs w:val="36"/>
          <w:shd w:val="clear" w:fill="FFFFFF"/>
        </w:rPr>
        <w:t>土质检测仪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492375" cy="1607185"/>
            <wp:effectExtent l="0" t="0" r="3175" b="12065"/>
            <wp:docPr id="14" name="图片 14" descr="C:\Users\Administrator\Desktop\cod101\1558746985 (1).jpg155874698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58746985 (1).jpg1558746985 (1)"/>
                    <pic:cNvPicPr>
                      <a:picLocks noChangeAspect="1"/>
                    </pic:cNvPicPr>
                  </pic:nvPicPr>
                  <pic:blipFill>
                    <a:blip r:embed="rId10"/>
                    <a:srcRect/>
                    <a:stretch>
                      <a:fillRect/>
                    </a:stretch>
                  </pic:blipFill>
                  <pic:spPr>
                    <a:xfrm>
                      <a:off x="0" y="0"/>
                      <a:ext cx="2492375" cy="1607185"/>
                    </a:xfrm>
                    <a:prstGeom prst="rect">
                      <a:avLst/>
                    </a:prstGeom>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一、仪器用途</w:t>
      </w:r>
    </w:p>
    <w:p>
      <w:pPr>
        <w:keepNext w:val="0"/>
        <w:keepLines w:val="0"/>
        <w:widowControl/>
        <w:suppressLineNumbers w:val="0"/>
        <w:jc w:val="left"/>
      </w:pP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土壤水分、温度、光照度、pH四参数速测仪可检测记录土壤温度、土壤水分、光照度，土壤pH 四个参数，含4个参数传感器。</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二、功能特点</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（1）主机及传输部分</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l 主机低功耗设计，中文液晶显示，实时显示传感器采集数据、当前GPS位置（经度与纬度，此功能为选配）、电池电量、语音播报、报警功能、当前日期、存储容量及存储数据数量等信息并可设置数据存储时间间隔。</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l 自带无线传输功能，通过GPRS上传，所测量数据可通过一键发送或设置数据发送间隔，实时发送至服务器，上网页查看数据，无论身在何处只要能上网，均可查看下载数据。（此功能为选配）</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l 含手机APP，支持安卓及苹果系统，无论身在何处只要能上网，均可查看实时数据。（此功能为选配）</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l 主机内部FIash可存储3万条数据，标配4G内存卡无限存储，内存卡与FIash中数据可同时存储。</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l 内置7.4V4Ah锂电池，外接8.4V2A直流电源，具有充电保护与低电压提醒功能。</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l 数据查看模式，即可在主机上查看数据也可导入电脑进行查看分析，意外断电主机内部已经保存的数据不会丢失。</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l 主机可通过集线器接入不同传感器，相互不影响测量精度，主机可同时接入16种传感器，最多可以接入32个传感器，传感器通讯线缆最远可达100米。</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（2）上位机功能</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  显示每种传感器参数及过程曲线趋势、最大值、最小值、平均值、放大、缩小等</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  每种传感器测量数据都已EXCEL格式保存，数据的报表、曲线图都可选择时间段查看并可通过计算机打印，曲线坐标可移动与设置历史数据分析明朗。</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 具有超限区域颜色区分功能，显示直观便捷。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三、传感器参数</w:t>
      </w:r>
    </w:p>
    <w:p>
      <w:pPr>
        <w:keepNext w:val="0"/>
        <w:keepLines w:val="0"/>
        <w:widowControl/>
        <w:suppressLineNumbers w:val="0"/>
        <w:jc w:val="left"/>
      </w:pP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土壤温度技术参数：</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温度单位：℃</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测试范围：-40℃～100℃</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精    度：±0.5℃</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传感器长度：≥25cm</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分辨率：0.1℃</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土壤水分技术参数：</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水分单位：%（m3/m3）</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响应时间：≤2秒</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土壤水分分辨率：0.1%</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标准电缆长度：1.5m(可按客户需要定做，最长可至100m)</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可  选  件：测量地下深层土壤水分时建议使用土钻</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含水率测试范围：0～100%</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相对百分误差：≤3%</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土壤pH技术参数：</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范围：0-14</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精度：±0.5</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分辨率：0.1</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光照度传感器</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（一）技术参数</w:t>
      </w:r>
    </w:p>
    <w:tbl>
      <w:tblPr>
        <w:tblW w:w="5512" w:type="dxa"/>
        <w:jc w:val="center"/>
        <w:tblInd w:w="2347" w:type="dxa"/>
        <w:shd w:val="clear"/>
        <w:tblLayout w:type="fixed"/>
        <w:tblCellMar>
          <w:top w:w="0" w:type="dxa"/>
          <w:left w:w="0" w:type="dxa"/>
          <w:bottom w:w="0" w:type="dxa"/>
          <w:right w:w="0" w:type="dxa"/>
        </w:tblCellMar>
      </w:tblPr>
      <w:tblGrid>
        <w:gridCol w:w="1747"/>
        <w:gridCol w:w="3765"/>
      </w:tblGrid>
      <w:tr>
        <w:tblPrEx>
          <w:shd w:val="clear"/>
          <w:tblLayout w:type="fixed"/>
          <w:tblCellMar>
            <w:top w:w="0" w:type="dxa"/>
            <w:left w:w="0" w:type="dxa"/>
            <w:bottom w:w="0" w:type="dxa"/>
            <w:right w:w="0" w:type="dxa"/>
          </w:tblCellMar>
        </w:tblPrEx>
        <w:trPr>
          <w:jc w:val="center"/>
        </w:trPr>
        <w:tc>
          <w:tcPr>
            <w:tcW w:w="17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工作电源</w:t>
            </w:r>
          </w:p>
        </w:tc>
        <w:tc>
          <w:tcPr>
            <w:tcW w:w="3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DC 5V～12V</w:t>
            </w:r>
          </w:p>
        </w:tc>
      </w:tr>
      <w:tr>
        <w:tblPrEx>
          <w:shd w:val="clear"/>
          <w:tblLayout w:type="fixed"/>
          <w:tblCellMar>
            <w:top w:w="0" w:type="dxa"/>
            <w:left w:w="0" w:type="dxa"/>
            <w:bottom w:w="0" w:type="dxa"/>
            <w:right w:w="0" w:type="dxa"/>
          </w:tblCellMar>
        </w:tblPrEx>
        <w:trPr>
          <w:jc w:val="center"/>
        </w:trPr>
        <w:tc>
          <w:tcPr>
            <w:tcW w:w="17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工作电流</w:t>
            </w:r>
          </w:p>
        </w:tc>
        <w:tc>
          <w:tcPr>
            <w:tcW w:w="3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&lt;2mA</w:t>
            </w:r>
          </w:p>
        </w:tc>
      </w:tr>
      <w:tr>
        <w:tblPrEx>
          <w:tblLayout w:type="fixed"/>
          <w:tblCellMar>
            <w:top w:w="0" w:type="dxa"/>
            <w:left w:w="0" w:type="dxa"/>
            <w:bottom w:w="0" w:type="dxa"/>
            <w:right w:w="0" w:type="dxa"/>
          </w:tblCellMar>
        </w:tblPrEx>
        <w:trPr>
          <w:jc w:val="center"/>
        </w:trPr>
        <w:tc>
          <w:tcPr>
            <w:tcW w:w="17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环境温度</w:t>
            </w:r>
          </w:p>
        </w:tc>
        <w:tc>
          <w:tcPr>
            <w:tcW w:w="3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-20℃～70℃</w:t>
            </w:r>
          </w:p>
        </w:tc>
      </w:tr>
      <w:tr>
        <w:tblPrEx>
          <w:shd w:val="clear"/>
          <w:tblLayout w:type="fixed"/>
          <w:tblCellMar>
            <w:top w:w="0" w:type="dxa"/>
            <w:left w:w="0" w:type="dxa"/>
            <w:bottom w:w="0" w:type="dxa"/>
            <w:right w:w="0" w:type="dxa"/>
          </w:tblCellMar>
        </w:tblPrEx>
        <w:trPr>
          <w:jc w:val="center"/>
        </w:trPr>
        <w:tc>
          <w:tcPr>
            <w:tcW w:w="17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光谱响应</w:t>
            </w:r>
          </w:p>
        </w:tc>
        <w:tc>
          <w:tcPr>
            <w:tcW w:w="3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400～700nm</w:t>
            </w:r>
          </w:p>
        </w:tc>
      </w:tr>
      <w:tr>
        <w:tblPrEx>
          <w:tblLayout w:type="fixed"/>
          <w:tblCellMar>
            <w:top w:w="0" w:type="dxa"/>
            <w:left w:w="0" w:type="dxa"/>
            <w:bottom w:w="0" w:type="dxa"/>
            <w:right w:w="0" w:type="dxa"/>
          </w:tblCellMar>
        </w:tblPrEx>
        <w:trPr>
          <w:jc w:val="center"/>
        </w:trPr>
        <w:tc>
          <w:tcPr>
            <w:tcW w:w="17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相对湿度</w:t>
            </w:r>
          </w:p>
        </w:tc>
        <w:tc>
          <w:tcPr>
            <w:tcW w:w="3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≤95%RH</w:t>
            </w:r>
          </w:p>
        </w:tc>
      </w:tr>
      <w:tr>
        <w:tblPrEx>
          <w:shd w:val="clear"/>
          <w:tblLayout w:type="fixed"/>
          <w:tblCellMar>
            <w:top w:w="0" w:type="dxa"/>
            <w:left w:w="0" w:type="dxa"/>
            <w:bottom w:w="0" w:type="dxa"/>
            <w:right w:w="0" w:type="dxa"/>
          </w:tblCellMar>
        </w:tblPrEx>
        <w:trPr>
          <w:jc w:val="center"/>
        </w:trPr>
        <w:tc>
          <w:tcPr>
            <w:tcW w:w="17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测量精度</w:t>
            </w:r>
          </w:p>
        </w:tc>
        <w:tc>
          <w:tcPr>
            <w:tcW w:w="3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±2%FS（0-20000lux）</w:t>
            </w:r>
          </w:p>
        </w:tc>
      </w:tr>
      <w:tr>
        <w:tblPrEx>
          <w:shd w:val="clear"/>
          <w:tblLayout w:type="fixed"/>
          <w:tblCellMar>
            <w:top w:w="0" w:type="dxa"/>
            <w:left w:w="0" w:type="dxa"/>
            <w:bottom w:w="0" w:type="dxa"/>
            <w:right w:w="0" w:type="dxa"/>
          </w:tblCellMar>
        </w:tblPrEx>
        <w:trPr>
          <w:jc w:val="center"/>
        </w:trPr>
        <w:tc>
          <w:tcPr>
            <w:tcW w:w="17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分辨率</w:t>
            </w:r>
          </w:p>
        </w:tc>
        <w:tc>
          <w:tcPr>
            <w:tcW w:w="3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1LUX</w:t>
            </w:r>
          </w:p>
        </w:tc>
      </w:tr>
      <w:tr>
        <w:tblPrEx>
          <w:tblLayout w:type="fixed"/>
          <w:tblCellMar>
            <w:top w:w="0" w:type="dxa"/>
            <w:left w:w="0" w:type="dxa"/>
            <w:bottom w:w="0" w:type="dxa"/>
            <w:right w:w="0" w:type="dxa"/>
          </w:tblCellMar>
        </w:tblPrEx>
        <w:trPr>
          <w:jc w:val="center"/>
        </w:trPr>
        <w:tc>
          <w:tcPr>
            <w:tcW w:w="17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测量范围</w:t>
            </w:r>
          </w:p>
        </w:tc>
        <w:tc>
          <w:tcPr>
            <w:tcW w:w="3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0～200000 lux</w:t>
            </w:r>
          </w:p>
        </w:tc>
      </w:tr>
    </w:tbl>
    <w:p>
      <w:pPr>
        <w:keepNext w:val="0"/>
        <w:keepLines w:val="0"/>
        <w:widowControl/>
        <w:suppressLineNumbers w:val="0"/>
        <w:jc w:val="left"/>
      </w:pP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（二）工作原理</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光照度（光照强度），即通常所说的勒克司度（lux），表示被照射主体表面单位面积上受到的光通量。光照度传感器利用半导体PN结的光生伏特效应及高精密仪表运放来检测环境光照强度，同时内部的温度补偿电路使得探头在不同气温条件获得同样的检测精度。</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（三）安装要点</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1．通光，被检测位置不应有任何人为遮光物体。</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2．不要任何防水玻璃罩，探头本身具有防水功能。</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3．探头水平放置(如图示)，由于探头核心器件半导体部分表面是一层白色滤光材料，玻璃对光线的反射随光线入射角度不同而不同，因此探头安装时需水平放置，以保证检测精确度。</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4．在风沙或灰尘较重的环境下使用，要经常清除探头玻璃表面的灰尘。</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25E4797"/>
    <w:rsid w:val="0F0177F7"/>
    <w:rsid w:val="11BA6177"/>
    <w:rsid w:val="14B5501D"/>
    <w:rsid w:val="18500180"/>
    <w:rsid w:val="1E8E1D5C"/>
    <w:rsid w:val="204047D9"/>
    <w:rsid w:val="22C56A06"/>
    <w:rsid w:val="22CE3408"/>
    <w:rsid w:val="251F6D09"/>
    <w:rsid w:val="25AA76C3"/>
    <w:rsid w:val="2996185D"/>
    <w:rsid w:val="2B5434B0"/>
    <w:rsid w:val="2D274C00"/>
    <w:rsid w:val="342226E9"/>
    <w:rsid w:val="37716D1B"/>
    <w:rsid w:val="38C14B71"/>
    <w:rsid w:val="3E295531"/>
    <w:rsid w:val="40C3615C"/>
    <w:rsid w:val="417620C0"/>
    <w:rsid w:val="45475EEF"/>
    <w:rsid w:val="46716EB1"/>
    <w:rsid w:val="4723416C"/>
    <w:rsid w:val="4BC2275E"/>
    <w:rsid w:val="4E2E4DFB"/>
    <w:rsid w:val="4F91277F"/>
    <w:rsid w:val="502F19F8"/>
    <w:rsid w:val="55744786"/>
    <w:rsid w:val="57FF6F4B"/>
    <w:rsid w:val="583B005C"/>
    <w:rsid w:val="58BD243F"/>
    <w:rsid w:val="5AAC36F2"/>
    <w:rsid w:val="5ACE6321"/>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2020-04-08T09:26:12Z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